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B5012" w14:textId="77777777" w:rsidR="00D9199B" w:rsidRDefault="00D9199B" w:rsidP="00D9199B">
      <w:r>
        <w:t>Dennis Prager (b. 1948) and his wife Susan &lt;a href="https://lukeford.net/blog/wp-content/uploads/2026/04/PragerComplaint_final.pdf"&gt;sued (26SMCV</w:t>
      </w:r>
      <w:proofErr w:type="gramStart"/>
      <w:r>
        <w:t>01561)&lt;</w:t>
      </w:r>
      <w:proofErr w:type="gramEnd"/>
      <w:r>
        <w:t xml:space="preserve">/a&gt; over his care following the November 12, </w:t>
      </w:r>
      <w:proofErr w:type="gramStart"/>
      <w:r>
        <w:t>2024</w:t>
      </w:r>
      <w:proofErr w:type="gramEnd"/>
      <w:r>
        <w:t xml:space="preserve"> shower fall that left him quadriplegic with a C3-C4 spinal cord injury. The case has gone through three phases so far, and the amendments tell a story.</w:t>
      </w:r>
    </w:p>
    <w:p w14:paraId="22BBA4FF" w14:textId="77777777" w:rsidR="00D9199B" w:rsidRDefault="00D9199B" w:rsidP="00D9199B">
      <w:r>
        <w:t>The &lt;a href="https://lukeford.net/blog/wp-content/uploads/2026/04/PragerComplaint_final.pdf"&gt;original complaint&lt;/a&gt;, filed March 13, 2026, named three defendants: Cedars-Sinai, Barlow Respiratory Hospital, and Rancho Los Amigos. It ran seven causes of action, including intentional and negligent infliction of emotional distress and a Patient's Bill of Rights claim. It alleged that Cedars-Sinai never turned him during a 49-day admission, that his tracheostomy tube was misplaced, that all three facilities let Stage IV pressure wounds fester without fecal diversion surgery, and it gestured toward Medicare billing fraud through copy-pasted progress notes.</w:t>
      </w:r>
    </w:p>
    <w:p w14:paraId="13B59831" w14:textId="77777777" w:rsidR="00D9199B" w:rsidRDefault="00D9199B" w:rsidP="00D9199B">
      <w:r>
        <w:t>The &lt;</w:t>
      </w:r>
      <w:proofErr w:type="spellStart"/>
      <w:r>
        <w:t>a</w:t>
      </w:r>
      <w:proofErr w:type="spellEnd"/>
      <w:r>
        <w:t xml:space="preserve"> href="https://lukeford.net/blog/wp-content/uploads/2026/07/FAC.pdf"&gt;First Amended Complaint&lt;/a&gt;, filed June 22, 2026, is a different animal. Two more law firms joined Gibson (&lt;A HREF="https://apps.calbar.ca.gov/attorney/Licensee/Detail/131738"&gt;Bryan M. Garrie&lt;/a&gt; and &lt;A HREF="https://www.matthewptyson.com/"&gt;Matthew P. Tyson&lt;/a&gt;). The plaintiffs dropped Barlow and Rancho and now sue Cedars-Sinai alone. Seven causes of action shrank to three: elder abuse by neglect, professional negligence, and loss of consortium. The pleading got tighter and more lawyerly. It now pins the discovery date </w:t>
      </w:r>
      <w:proofErr w:type="gramStart"/>
      <w:r>
        <w:t>at</w:t>
      </w:r>
      <w:proofErr w:type="gramEnd"/>
      <w:r>
        <w:t xml:space="preserve"> September 15, 2025, when experts first told the </w:t>
      </w:r>
      <w:proofErr w:type="spellStart"/>
      <w:r>
        <w:t>Pragers</w:t>
      </w:r>
      <w:proofErr w:type="spellEnd"/>
      <w:r>
        <w:t xml:space="preserve"> the injuries came from negligent care rather than the spinal injury, a move aimed at the statute of limitations. It adds concrete medical record detail: &lt;a href="https://en.wikipedia.org/wiki/Braden_Scale_for_Predicting_Pressure_Ulcer_Risk"&gt;Braden Scale&lt;/a&gt; scores </w:t>
      </w:r>
      <w:proofErr w:type="spellStart"/>
      <w:r>
        <w:t>scores</w:t>
      </w:r>
      <w:proofErr w:type="spellEnd"/>
      <w:r>
        <w:t xml:space="preserve"> of 10 to 12, physician orders to turn every two hours, a December 11, </w:t>
      </w:r>
      <w:proofErr w:type="gramStart"/>
      <w:r>
        <w:t>2024</w:t>
      </w:r>
      <w:proofErr w:type="gramEnd"/>
      <w:r>
        <w:t xml:space="preserve"> wound assessment showing no injury followed by documentation of a deep tissue injury around December 18-20. It walks through the elder abuse case law, &lt;a href="https://law.justia.com/cases/california/supreme-court/2016/s211793.html"&gt;&lt;i&gt;Winn&lt;/i&gt;&lt;/a&gt;, &lt;a href="https://law.justia.com/cases/california/court-of-appeal/2006/b177442.html"&gt;&lt;i&gt;Sababin&lt;/i&gt;&lt;/a&gt;, &lt;a href="https://law.justia.com/cases/california/court-of-appeal/2011/d057852/"&gt;&lt;i&gt;Carter&lt;/i&gt;&lt;/a&gt;, &lt;a href="https://law.justia.com/cases/california/supreme-court/4th/20/23.html"&gt;&lt;i&gt;Delaney&lt;/i&gt;&lt;/a&gt;, &lt;a href="https://law.justia.com/cases/california/court-of-</w:t>
      </w:r>
      <w:r>
        <w:lastRenderedPageBreak/>
        <w:t>appeal/2016/b262186.html"&gt;&lt;i&gt;Fenimore&lt;/i&gt;&lt;/a&gt; and builds an understaffing theory under the state nursing ratio regulation to support recklessness, which is the gateway to punitive damages and attorney fees under the Elder Abuse Act. It also carves out DOES 11-15 as independent physicians named only in the negligence count, which manages the interaction with California's caps on medical malpractice damages.</w:t>
      </w:r>
    </w:p>
    <w:p w14:paraId="389C4334" w14:textId="77777777" w:rsidR="00D9199B" w:rsidRDefault="00D9199B" w:rsidP="00D9199B">
      <w:r>
        <w:t xml:space="preserve">&lt;a href="https://lukeford.net/blog/wp-content/uploads/2026/07/Answ.pdf"&gt;Cedars-Sinai answered&lt;/a&gt; on July 9, </w:t>
      </w:r>
      <w:proofErr w:type="gramStart"/>
      <w:r>
        <w:t>2026</w:t>
      </w:r>
      <w:proofErr w:type="gramEnd"/>
      <w:r>
        <w:t xml:space="preserve"> with a general denial and 22 affirmative defenses. The ones that </w:t>
      </w:r>
      <w:proofErr w:type="gramStart"/>
      <w:r>
        <w:t>matter:</w:t>
      </w:r>
      <w:proofErr w:type="gramEnd"/>
      <w:r>
        <w:t xml:space="preserve"> statute of limitations, comparative fault, apportionment to other providers (Barlow and Rancho, now conveniently out of the case as defendants but available as empty chairs), the MICRA damages caps and periodic payment provisions, Proposition 51, and a cluster of defenses denying the recklessness and corporate ratification required for elder abuse remedies. The hospital demanded a jury and filed a &lt;a href="https://lukeford.net/blog/wp-content/uploads/2026/07/DecTrialAttorney.pdf"&gt;declaration&lt;/a&gt; locking in Louise Douville as sole trial counsel, a standard move to preserve continuance grounds.</w:t>
      </w:r>
    </w:p>
    <w:p w14:paraId="5DCAEC98" w14:textId="77777777" w:rsidR="00D9199B" w:rsidRDefault="00D9199B" w:rsidP="00D9199B">
      <w:r>
        <w:t xml:space="preserve">Nothing has been heard in court yet. The case sits with Judge Edward B. Moreton, Jr. in Department 205 at the Beverly Hills courthouse, with a case management conference set for September 21, </w:t>
      </w:r>
      <w:proofErr w:type="gramStart"/>
      <w:r>
        <w:t>2026</w:t>
      </w:r>
      <w:proofErr w:type="gramEnd"/>
      <w:r>
        <w:t xml:space="preserve"> and no trial date. The next battleground is discovery, and the central fight will be whether the turning failures amount to reckless neglect under the Elder Abuse Act, which unlocks pain-and-suffering recovery beyond the MICRA cap, punitive damages, and fees, or whether Cedars-Sinai can hold this to ordinary professional negligence with capped non-economic damages. The dropped defendants and the dropped fraud insinuations suggest the new legal team traded breadth for a cleaner shot at that one question.</w:t>
      </w:r>
    </w:p>
    <w:p w14:paraId="4CE360BB" w14:textId="77777777" w:rsidR="00D9199B" w:rsidRDefault="00D9199B" w:rsidP="00D9199B"/>
    <w:p w14:paraId="4A02B3C9" w14:textId="77777777" w:rsidR="00D9199B" w:rsidRDefault="00D9199B" w:rsidP="00D9199B">
      <w:r>
        <w:t>Five lawyers, four firms, and a mismatch.</w:t>
      </w:r>
    </w:p>
    <w:p w14:paraId="64B7F54B" w14:textId="77777777" w:rsidR="00D9199B" w:rsidRDefault="00D9199B" w:rsidP="00D9199B"/>
    <w:p w14:paraId="004A1ED5" w14:textId="77777777" w:rsidR="00D9199B" w:rsidRDefault="00D9199B" w:rsidP="00D9199B">
      <w:r>
        <w:t>The plaintiffs' side</w:t>
      </w:r>
    </w:p>
    <w:p w14:paraId="368D8A07" w14:textId="77777777" w:rsidR="00D9199B" w:rsidRDefault="00D9199B" w:rsidP="00D9199B"/>
    <w:p w14:paraId="6EF4EE4E" w14:textId="77777777" w:rsidR="00D9199B" w:rsidRDefault="00D9199B" w:rsidP="00D9199B">
      <w:r>
        <w:t xml:space="preserve">Heather Gibson (SBN 240938) filed the original complaint alone. She runs a small Santa Clara firm, founded in 2012, that focuses on fighting health insurance companies that fail to pay members' medical bills. Her background is unusual: she graduated from Santa Clara University School of Law in 2005 while competing as an elite distance runner, qualified for the 2004 US Olympic trials in the steeplechase, and later qualified for the 2008 Olympic </w:t>
      </w:r>
      <w:r>
        <w:lastRenderedPageBreak/>
        <w:t xml:space="preserve">trials in the 10K. Her case history runs to breach of fiduciary duty trials, contractor disputes, and collections against health insurance carriers on behalf of ambulatory surgical centers. She knows healthcare billing and coverage. She is not a career elder abuse or catastrophic injury trial lawyer, and the original complaint showed it: seven causes of action, duplicative emotional distress claims, a stray reference to "December 23, 2026," and detours into Medicare billing insinuations that a defense firm would have shredded on demurrer. </w:t>
      </w:r>
    </w:p>
    <w:p w14:paraId="456724AA" w14:textId="77777777" w:rsidR="00D9199B" w:rsidRDefault="00D9199B" w:rsidP="00D9199B">
      <w:r>
        <w:t xml:space="preserve">The First Amended Complaint brought reinforcements. Bryan Garrie (SBN 131738), admitted in 1987, practices solo out of La Jolla. He carries an AV Preeminent rating from Martindale-Hubbell, the highest peer review rating available, and describes himself as a trial attorney in construction and construction defect litigation, personal injury and medical malpractice litigation, product liability litigation and real estate litigation. He was </w:t>
      </w:r>
      <w:proofErr w:type="gramStart"/>
      <w:r>
        <w:t>on</w:t>
      </w:r>
      <w:proofErr w:type="gramEnd"/>
      <w:r>
        <w:t xml:space="preserve"> the University of Southern California Law Review. Matthew Tyson (SBN 178427) has practiced civil litigation in Southern California since 1995, with a California Western law degree, handling employment law violations, medical malpractice, elder abuse, fraud, and personal injury. Tyson has a public profile that likely explains the connection to this client: during the COVID-19 pandemic he represented physicians in licensing board inquiries, sued Twitter over censorship of prominent physicians (a suit that settled after Elon Musk acquired the platform), and pioneered claims against hospitals for concealing early COVID treatment options. That is the medical-freedom legal circuit, adjacent to Prager's world. He may be the relationship lawyer; Garrie may be the trial gravitas. </w:t>
      </w:r>
    </w:p>
    <w:p w14:paraId="20F67131" w14:textId="77777777" w:rsidR="00D9199B" w:rsidRDefault="00D9199B" w:rsidP="00D9199B">
      <w:r>
        <w:t xml:space="preserve">The upgraded complaint reflects the new team. Whoever drafted the amendment knows the elder abuse case law cold and </w:t>
      </w:r>
      <w:proofErr w:type="gramStart"/>
      <w:r>
        <w:t>understood</w:t>
      </w:r>
      <w:proofErr w:type="gramEnd"/>
      <w:r>
        <w:t xml:space="preserve"> that the original pleading's breadth was a liability.</w:t>
      </w:r>
    </w:p>
    <w:p w14:paraId="296119B4" w14:textId="77777777" w:rsidR="00D9199B" w:rsidRDefault="00D9199B" w:rsidP="00D9199B"/>
    <w:p w14:paraId="0D23CB03" w14:textId="77777777" w:rsidR="00D9199B" w:rsidRDefault="00D9199B" w:rsidP="00D9199B">
      <w:r>
        <w:t>The defense side</w:t>
      </w:r>
    </w:p>
    <w:p w14:paraId="312FE38B" w14:textId="77777777" w:rsidR="00D9199B" w:rsidRDefault="00D9199B" w:rsidP="00D9199B"/>
    <w:p w14:paraId="153920D8" w14:textId="77777777" w:rsidR="00D9199B" w:rsidRDefault="00D9199B" w:rsidP="00D9199B">
      <w:r>
        <w:t xml:space="preserve">Cedars-Sinai hired &lt;A HREF="https://fwclawyers.com/"&gt;Fraser Watson &amp; Croutch&lt;/a&gt;, and this is where the asymmetry shows. FWC is a Glendale firm of roughly 32 people that specializes in defense of medical malpractice, elder and dependent adult abuse, and catastrophic personal injury, representing some of the most prestigious healthcare institutions in Southern California, including teaching institutions, universities, acute general hospitals, community hospitals, and clinics. The firm has defended Cedars-Sinai before: courtroom archives show a malpractice case in which plaintiff Wanda Clemmons alleged malpractice by Scott Cunneen and Cedars Sinai Hospital during gastric bypass </w:t>
      </w:r>
      <w:r>
        <w:lastRenderedPageBreak/>
        <w:t xml:space="preserve">surgery. The firm's own marketing addresses exactly the strategy the </w:t>
      </w:r>
      <w:proofErr w:type="spellStart"/>
      <w:r>
        <w:t>Pragers</w:t>
      </w:r>
      <w:proofErr w:type="spellEnd"/>
      <w:r>
        <w:t xml:space="preserve">' lawyers chose. It notes that because elder abuse claims carry enhanced remedies like attorney fees and punitive damages, and may escape the MICRA limits on general damages, plaintiffs' attorneys who once avoided medical malpractice have made elder abuse a key component of their practice. FWC built a department to beat that play. </w:t>
      </w:r>
    </w:p>
    <w:p w14:paraId="4BADADAC" w14:textId="77777777" w:rsidR="00D9199B" w:rsidRDefault="00D9199B" w:rsidP="00D9199B">
      <w:r>
        <w:t>&lt;A HREF="https://fwclawyers.com/</w:t>
      </w:r>
      <w:proofErr w:type="spellStart"/>
      <w:r>
        <w:t>louise</w:t>
      </w:r>
      <w:proofErr w:type="spellEnd"/>
      <w:r>
        <w:t>-m-</w:t>
      </w:r>
      <w:proofErr w:type="spellStart"/>
      <w:r>
        <w:t>douville</w:t>
      </w:r>
      <w:proofErr w:type="spellEnd"/>
      <w:r>
        <w:t xml:space="preserve">/"&gt;Louise Douville&lt;/a&gt; (SBN 131913) is lead trial counsel, and Cedars-Sinai wants only her: the declaration filed July 9 locks her in as sole authorized trial attorney. She has more than thirty years in medical malpractice defense, healthcare law, and elder abuse, has tried more than twenty-seven Superior Court cases to verdict with excellent results including defense verdicts, and has handled more than two hundred and fifty arbitrations and mediations. She is a member of the American Board of Trial Advocates and has handled complex defense of sensitive personal injury cases that drew international media attention. Matthew Yarvis (SBN 186952), her second chair, has over twenty years in medical malpractice defense, healthcare law, elder abuse, government tort liability, and complex civil litigation, with successful writs and appeals in the Second and Fourth District Courts of Appeal. </w:t>
      </w:r>
    </w:p>
    <w:p w14:paraId="60EC89F5" w14:textId="77777777" w:rsidR="00D9199B" w:rsidRDefault="00D9199B" w:rsidP="00D9199B">
      <w:r>
        <w:t>The Douville-</w:t>
      </w:r>
      <w:proofErr w:type="spellStart"/>
      <w:r>
        <w:t>Yarvis</w:t>
      </w:r>
      <w:proofErr w:type="spellEnd"/>
      <w:r>
        <w:t xml:space="preserve"> pairing has run this exact playbook together. In 2019 they won a 12-0 defense verdict for a hospital in a case where the plaintiff, admitted after a catastrophic fall with traumatic subdural hematoma, developed an epidural empyema requiring repeat craniotomy, against a $1,000,000 demand to which the defense offered nothing. More on point, an FWC team in 2025 tried and won a case that reads like a rehearsal for Prager: a plaintiff brought medical negligence and elder abuse claims alleging a failure to prevent pressure ulcers, claiming she had no pressure injuries before arrival, was never turned or repositioned, and that documentation did not reflect the wounds until 7.5 hours after arrival. The firm defends turning-and-repositioning cases as routine business. </w:t>
      </w:r>
    </w:p>
    <w:p w14:paraId="6D755A1D" w14:textId="77777777" w:rsidR="00D9199B" w:rsidRDefault="00D9199B" w:rsidP="00D9199B"/>
    <w:p w14:paraId="4A0EE9C5" w14:textId="77777777" w:rsidR="00D9199B" w:rsidRDefault="00D9199B" w:rsidP="00D9199B">
      <w:r>
        <w:t>What to expect</w:t>
      </w:r>
    </w:p>
    <w:p w14:paraId="392AFF50" w14:textId="77777777" w:rsidR="00D9199B" w:rsidRDefault="00D9199B" w:rsidP="00D9199B"/>
    <w:p w14:paraId="4191643F" w14:textId="77777777" w:rsidR="00D9199B" w:rsidRDefault="00D9199B" w:rsidP="00D9199B">
      <w:r>
        <w:t xml:space="preserve">The structural picture: three solo and small-firm plaintiffs' lawyers, probably on contingency, against an institutional defense firm that Cedars-Sinai's insurer pays by the hour and that has tried dozens of these cases. Douville does not need to settle </w:t>
      </w:r>
      <w:proofErr w:type="gramStart"/>
      <w:r>
        <w:t>cheap</w:t>
      </w:r>
      <w:proofErr w:type="gramEnd"/>
      <w:r>
        <w:t xml:space="preserve"> and her record says she is comfortable taking a jury verdict. Yet the calculus here differs from her usual case. Prager is a famous plaintiff with a sympathetic, gruesome injury story, a documentary trail of physician orders and Braden scores that the amended complaint quotes, and a wife who kept bedside vigil and will testify. Defense verdicts in pressure </w:t>
      </w:r>
      <w:r>
        <w:lastRenderedPageBreak/>
        <w:t xml:space="preserve">wound cases usually turn on convincing a </w:t>
      </w:r>
      <w:proofErr w:type="gramStart"/>
      <w:r>
        <w:t>jury</w:t>
      </w:r>
      <w:proofErr w:type="gramEnd"/>
      <w:r>
        <w:t xml:space="preserve"> the injury was unavoidable given the patient's condition. That defense is available here (the FAC itself concedes he needed &lt;A HREF="https://my.clevelandclinic.org/health/treatments/23208-vasopressors"&gt;vasopressors&lt;/a&gt; early on, and the defense answer already pleads assumption of risk and comparative fault), but a Beverly Hills jury looking at a quadriplegic who arrived able to move his toes might not be a forgiving audience.</w:t>
      </w:r>
    </w:p>
    <w:p w14:paraId="01BFA9F8" w14:textId="77777777" w:rsidR="00D9199B" w:rsidRDefault="00D9199B" w:rsidP="00D9199B">
      <w:r>
        <w:t xml:space="preserve">Expect these moves. Cedars-Sinai might file a motion to </w:t>
      </w:r>
      <w:proofErr w:type="gramStart"/>
      <w:r>
        <w:t>strike</w:t>
      </w:r>
      <w:proofErr w:type="gramEnd"/>
      <w:r>
        <w:t xml:space="preserve"> or summary adjudication aimed at the elder abuse cause of action, arguing the facts show at most professional negligence, not the recklessness Delaney requires; the answer's sixteenth through twentieth affirmative defenses preview exactly that. If the elder abuse claim survives to trial, the exposure jumps: uncapped pain and suffering, fees, and </w:t>
      </w:r>
      <w:proofErr w:type="gramStart"/>
      <w:r>
        <w:t>a punitive damages</w:t>
      </w:r>
      <w:proofErr w:type="gramEnd"/>
      <w:r>
        <w:t xml:space="preserve"> phase. If it falls, MICRA caps non-economic damages and the case becomes mostly a fight over Prager's roughly $2 million annual earnings claim, where the defense will argue a 76-year-old C3-C4 quadriplegic could not have returned to daily broadcasting regardless of the wounds. Discovery will center on nursing flowsheets, staffing records under the ratio regulation (the Fenimore theory requires proving a pattern of understaffing, which means the plaintiffs will demand unit-level staffing data Cedars-Sinai will resist producing), and dueling experts on whether the deep tissue injury that appeared between December 11 and December 18, </w:t>
      </w:r>
      <w:proofErr w:type="gramStart"/>
      <w:r>
        <w:t>2024</w:t>
      </w:r>
      <w:proofErr w:type="gramEnd"/>
      <w:r>
        <w:t xml:space="preserve"> could have formed despite proper turning. The empty chairs matter too: Barlow and Rancho are out of the case as defendants, but the answer pleads Proposition 51 apportionment, so the defense will try to shift fault to the facilities where the wounds progressed to Stage IV.</w:t>
      </w:r>
    </w:p>
    <w:p w14:paraId="30E843D8" w14:textId="77777777" w:rsidR="00D9199B" w:rsidRDefault="00D9199B" w:rsidP="00D9199B">
      <w:r>
        <w:t>Timing: the case management conference is September 21, 2026. LA County medical malpractice cases of this complexity typically reach trial 18 to 24 months after filing, so late 2027 is a realistic window, with the Douville sole-counsel declaration positioned to support continuances if her calendar conflicts. The likeliest outcome in cases with this profile is a substantial settlement after expert discovery, once both sides see whether the elder abuse claim survives. But if Cedars-Sinai reads the nursing records as defensible, Douville's history says she will try it.</w:t>
      </w:r>
    </w:p>
    <w:p w14:paraId="597F8A83" w14:textId="77777777" w:rsidR="00D9199B" w:rsidRDefault="00D9199B" w:rsidP="00D9199B"/>
    <w:p w14:paraId="0CF1BAA8" w14:textId="77777777" w:rsidR="00D9199B" w:rsidRDefault="00D9199B" w:rsidP="00D9199B">
      <w:r>
        <w:t>The Complaint ran like a PR operation for Dennis and Sue. What about the FAC?</w:t>
      </w:r>
    </w:p>
    <w:p w14:paraId="30926432" w14:textId="77777777" w:rsidR="00D9199B" w:rsidRDefault="00D9199B" w:rsidP="00D9199B">
      <w:r>
        <w:t>Mostly stripped out, and what remains got repurposed.</w:t>
      </w:r>
    </w:p>
    <w:p w14:paraId="7B1AAF99" w14:textId="77777777" w:rsidR="00D9199B" w:rsidRDefault="00D9199B" w:rsidP="00D9199B">
      <w:r>
        <w:t xml:space="preserve">The original complaint read </w:t>
      </w:r>
      <w:proofErr w:type="gramStart"/>
      <w:r>
        <w:t>like</w:t>
      </w:r>
      <w:proofErr w:type="gramEnd"/>
      <w:r>
        <w:t xml:space="preserve"> it was written for an audience beyond Judge Moreton. Paragraph 139 claimed Prager's "inability to speak to the world and provide his unique perspective to the world population during times of great political divide" caused him </w:t>
      </w:r>
      <w:r>
        <w:lastRenderedPageBreak/>
        <w:t>overwhelming sadness. That sentence has no legal function. Emotional distress damages do not grow because the plaintiff's opinions are important to humanity. It exists to flatter the client and feed a news cycle, and it invites a defense lawyer to read it aloud to a jury with a raised eyebrow. The original also carried the Medicare billing fraud insinuations, the "systemic tolerance for preventable deterioration in patients perceived as medically fragile," and the staff dismissing wounds as "no big deal," which are the beats of a press release: villain, cover-up, indifference.</w:t>
      </w:r>
    </w:p>
    <w:p w14:paraId="49CF6DD4" w14:textId="77777777" w:rsidR="00D9199B" w:rsidRDefault="00D9199B" w:rsidP="00D9199B">
      <w:r>
        <w:t>The FAC keeps the opening three paragraphs almost verbatim. Prager is still "an iconic, well-known talk show host," still "widely respected, and well-loved," still commanding tens of millions of followers. But the retention is now doing legal work rather than image work. Watch what the drafters built around it. Paragraph 46 alleges he earned approximately $2 million annually, had no plans to retire, held continuing contractual and syndication commitments, and that long broadcasting careers into and beyond a host's seventies are the norm in syndicated talk radio, "providing a concrete, non-speculative basis for his loss-of-earnings claim." That last clause is the tell. The fame allegations survived because the biggest dollar item in the case is lost earnings, and the defense's best answer to it is that a 76-year-old was near the end of his run anyway. The introduction now functions as the foundation for a rebuttal to a mitigation and speculation defense the drafters knew was coming; the answer's fourteenth affirmative defense pleads exactly that the damages are speculative.</w:t>
      </w:r>
    </w:p>
    <w:p w14:paraId="35B53190" w14:textId="77777777" w:rsidR="00D9199B" w:rsidRDefault="00D9199B" w:rsidP="00D9199B">
      <w:r>
        <w:t xml:space="preserve">The grievance rhetoric that served no damages theory is gone. The world-deprived-of-his-voice paragraph disappeared with the NIED cause of action. The "no big deal" quotes disappeared with the IIED claim. The billing fraud material vanished. The wounded-celebrity register gave way to Braden scores, order entries, and dates. Where the original said staff "surreptitiously" concealed the wounds, the FAC says Cedars-Sinai "failed to communicate" </w:t>
      </w:r>
      <w:proofErr w:type="gramStart"/>
      <w:r>
        <w:t>their</w:t>
      </w:r>
      <w:proofErr w:type="gramEnd"/>
      <w:r>
        <w:t xml:space="preserve"> existence and significance, which is quieter and maps onto an actual duty.</w:t>
      </w:r>
    </w:p>
    <w:p w14:paraId="033B2919" w14:textId="77777777" w:rsidR="00D9199B" w:rsidRDefault="00D9199B" w:rsidP="00D9199B">
      <w:r>
        <w:t xml:space="preserve">One flourish survived on the merits: paragraph 47 calls the roaring </w:t>
      </w:r>
      <w:proofErr w:type="spellStart"/>
      <w:r>
        <w:t>Clinitron</w:t>
      </w:r>
      <w:proofErr w:type="spellEnd"/>
      <w:r>
        <w:t xml:space="preserve"> bed "a particular cruelty for a man whose life and livelihood are conversation." That is advocacy, but it is trial advocacy. It is the sentence a lawyer wants a mediator or juror to remember, tied to a concrete, provable condition rather than to the client's self-image. The difference between the two documents is the difference between writing for the client and writing for the </w:t>
      </w:r>
      <w:proofErr w:type="gramStart"/>
      <w:r>
        <w:t>fact-finder</w:t>
      </w:r>
      <w:proofErr w:type="gramEnd"/>
      <w:r>
        <w:t xml:space="preserve">. The original told you Dennis Prager is a great man who was wronged. The FAC tells you a 270-pound insensate quadriplegic with charted turn orders went </w:t>
      </w:r>
      <w:proofErr w:type="gramStart"/>
      <w:r>
        <w:t>unturned, and</w:t>
      </w:r>
      <w:proofErr w:type="gramEnd"/>
      <w:r>
        <w:t xml:space="preserve"> mentions </w:t>
      </w:r>
      <w:proofErr w:type="gramStart"/>
      <w:r>
        <w:t>his</w:t>
      </w:r>
      <w:proofErr w:type="gramEnd"/>
      <w:r>
        <w:t xml:space="preserve"> greatness only where a damages expert will need it.</w:t>
      </w:r>
    </w:p>
    <w:p w14:paraId="0FA45803" w14:textId="77777777" w:rsidR="00D9199B" w:rsidRDefault="00D9199B" w:rsidP="00D9199B">
      <w:r>
        <w:lastRenderedPageBreak/>
        <w:t>There is a client-management story visible in the seam between the documents. Plaintiffs' lawyers with famous clients often inherit a first draft shaped by what the client and his circle want said. The amendment reads like the moment professionals took the file and traded catharsis for verdict value, while leaving just enough of the original opening that the client would still recognize himself in it.</w:t>
      </w:r>
    </w:p>
    <w:p w14:paraId="2ED119D9" w14:textId="77777777" w:rsidR="00D9199B" w:rsidRDefault="00D9199B" w:rsidP="00D9199B"/>
    <w:p w14:paraId="26D97180" w14:textId="77777777" w:rsidR="00D9199B" w:rsidRDefault="00D9199B" w:rsidP="00D9199B">
      <w:r>
        <w:t>The Braden Scale is nursing's standard tool for predicting pressure injury risk. A nurse scores the patient on six factors: sensory perception, moisture, activity, mobility, nutrition, and friction/shear. The total runs from 6 to 23. Lower is worse. A score of 18 or below signals risk. A score of 12 or below signals high risk. Prager's charted scores of 10 to 12 put him at high risk on the hospital's own instrument, scored by the hospital's own nurses, entered into the hospital's own record. A C3-C4 quadriplegic scores near the floor almost by definition: he cannot feel pressure (sensory perception), cannot move (mobility, activity), and slides against bedding during care (friction/shear).</w:t>
      </w:r>
    </w:p>
    <w:p w14:paraId="7EE402E7" w14:textId="77777777" w:rsidR="00D9199B" w:rsidRDefault="00D9199B" w:rsidP="00D9199B">
      <w:r>
        <w:t>The scores carry three kinds of weight in this lawsuit.</w:t>
      </w:r>
    </w:p>
    <w:p w14:paraId="0C505C18" w14:textId="77777777" w:rsidR="00D9199B" w:rsidRDefault="00D9199B" w:rsidP="00D9199B">
      <w:r>
        <w:t xml:space="preserve">First, they establish knowledge, and knowledge is the hinge of the whole case. The elder abuse claim requires recklessness, which Delaney v. Baker (1999) 20 Cal.4th 23 defines as deliberate disregard of a high probability of injury. A defendant cannot deliberately disregard a risk it never perceived. The Braden scores close that escape. Cedars-Sinai measured the risk, quantified it, charted it serially, and by protocol a high-risk score triggers a prevention plan: scheduled turning, off-loading, support surfaces. The FAC alleges the hospital did institute that plan on paper: prevention protocols, the low-air-loss mattress, physician turn orders. </w:t>
      </w:r>
      <w:proofErr w:type="gramStart"/>
      <w:r>
        <w:t>So</w:t>
      </w:r>
      <w:proofErr w:type="gramEnd"/>
      <w:r>
        <w:t xml:space="preserve"> the plaintiffs' syllogism </w:t>
      </w:r>
      <w:proofErr w:type="gramStart"/>
      <w:r>
        <w:t>runs:</w:t>
      </w:r>
      <w:proofErr w:type="gramEnd"/>
      <w:r>
        <w:t xml:space="preserve"> you scored him 10 to 12, your own system told you what that number required, your physicians ordered it, and your nursing record shows it was not done. Each Braden entry is the hospital re-certifying, shift after shift, that it understood the danger. That converts a lapse into a sustained, knowing failure, which is the difference between negligence capped by MICRA and elder abuse with uncapped pain and suffering, fees, and punitive exposure.</w:t>
      </w:r>
    </w:p>
    <w:p w14:paraId="01E9C815" w14:textId="77777777" w:rsidR="00D9199B" w:rsidRDefault="00D9199B" w:rsidP="00D9199B">
      <w:r>
        <w:t xml:space="preserve">Second, they gut the "unavoidable injury" defense before it starts. The standard defense in pressure wound cases is that the patient's condition made the injury unavoidable despite proper care: too unstable to turn, too sick, skin failing at the end of life. The Braden documentation cuts against this because it shows the hospital treated the risk as manageable, not hopeless. You do not order a specialty mattress and </w:t>
      </w:r>
      <w:proofErr w:type="gramStart"/>
      <w:r>
        <w:t>every-two</w:t>
      </w:r>
      <w:proofErr w:type="gramEnd"/>
      <w:r>
        <w:t xml:space="preserve">-hour </w:t>
      </w:r>
      <w:proofErr w:type="gramStart"/>
      <w:r>
        <w:t>turns</w:t>
      </w:r>
      <w:proofErr w:type="gramEnd"/>
      <w:r>
        <w:t xml:space="preserve"> for a patient you consider impossible to protect. The FAC sharpens the point by conceding the vasopressor period early in the admission, then alleging the wound appeared weeks </w:t>
      </w:r>
      <w:r>
        <w:lastRenderedPageBreak/>
        <w:t xml:space="preserve">after hemodynamic instability ended, between a December 11 wound-nurse assessment finding no injury and documentation of a deep tissue injury around December 18-20. The defense is left </w:t>
      </w:r>
      <w:proofErr w:type="gramStart"/>
      <w:r>
        <w:t>arguing</w:t>
      </w:r>
      <w:proofErr w:type="gramEnd"/>
      <w:r>
        <w:t xml:space="preserve"> the injury was unavoidable during precisely the window when its own chart shows a stable patient, a clean skin check, and unexecuted turn orders.</w:t>
      </w:r>
    </w:p>
    <w:p w14:paraId="00AD8C6C" w14:textId="77777777" w:rsidR="00D9199B" w:rsidRDefault="00D9199B" w:rsidP="00D9199B">
      <w:r>
        <w:t xml:space="preserve">Third, they solve a proof problem. The plaintiffs' central factual claim is an absence: no charted turns. Absence of documentation is vulnerable to the argument that nurses turned him and simply did not chart it. The Braden scores make that harder to sell, because they show the nursing staff was attentive enough to complete a formal risk assessment repeatedly while allegedly failing to chart the intervention that assessment demanded. The original complaint made this argument in rough form, noting that other routine care was thoroughly documented. The Braden allegations give it </w:t>
      </w:r>
      <w:proofErr w:type="gramStart"/>
      <w:r>
        <w:t>teeth</w:t>
      </w:r>
      <w:proofErr w:type="gramEnd"/>
      <w:r>
        <w:t>: the same discipline that scored the risk left no systematic record of answering it. Charting by nurses follows the maxim taught in every nursing program, which the plaintiffs' expert will repeat on the stand: if it wasn't documented, it wasn't done.</w:t>
      </w:r>
    </w:p>
    <w:p w14:paraId="1CF0C6F5" w14:textId="77777777" w:rsidR="00D9199B" w:rsidRDefault="00D9199B" w:rsidP="00D9199B">
      <w:r>
        <w:t>Expect the fight over these numbers to run through discovery. The plaintiffs will demand every Braden entry, the prevention protocol the scores triggered, and the staffing rosters showing whether anyone was available to execute it. The defense will look for turn documentation elsewhere in the record, respiratory therapy notes, repositioning incidental to other care, and will argue the scores prove vigilance rather than indifference. That is the paradox the scores create for Cedars-Sinai: its best evidence of attentiveness is also the plaintiffs' best evidence that it knew.</w:t>
      </w:r>
    </w:p>
    <w:p w14:paraId="5C0D668F" w14:textId="77777777" w:rsidR="00D9199B" w:rsidRDefault="00D9199B" w:rsidP="00D9199B"/>
    <w:p w14:paraId="0924668A" w14:textId="77777777" w:rsidR="00D9199B" w:rsidRDefault="00D9199B" w:rsidP="00D9199B">
      <w:r>
        <w:t xml:space="preserve">A loss of consortium </w:t>
      </w:r>
      <w:proofErr w:type="gramStart"/>
      <w:r>
        <w:t>claim</w:t>
      </w:r>
      <w:proofErr w:type="gramEnd"/>
      <w:r>
        <w:t xml:space="preserve"> for this old man? Age does not bar the claim, and the skepticism built into the question is exactly the argument the defense cannot make out loud in front of a jury. Loss of consortium in California covers the deprivation of a spouse's society, comfort, protection, services, support, affection, and companionship, which is how the FAC pleads it. Sex is one element, not the claim. The core of Susan's case is that she married a man who talked for a living and now lives beside a ventilator and a </w:t>
      </w:r>
      <w:proofErr w:type="spellStart"/>
      <w:r>
        <w:t>Clinitron</w:t>
      </w:r>
      <w:proofErr w:type="spellEnd"/>
      <w:r>
        <w:t xml:space="preserve"> bed whose motor drowns out conversation. Her husband cannot embrace her, cannot help </w:t>
      </w:r>
      <w:proofErr w:type="gramStart"/>
      <w:r>
        <w:t>run</w:t>
      </w:r>
      <w:proofErr w:type="gramEnd"/>
      <w:r>
        <w:t xml:space="preserve"> the home, cannot share the load of their adult autistic son, and requires her to fly across the country to sit with him. A 17-year marriage (they married December 31, 2008) converted into a caregiving relationship is the paradigm consortium injury. Juries do not discount elderly companionship the way the question implies; they often value it more, because the remaining years are fewer and the dependence is total. A defense lawyer who argues that a 77-year-old husband's society is worth little is handing the plaintiffs their closing argument.</w:t>
      </w:r>
    </w:p>
    <w:p w14:paraId="547E6B30" w14:textId="77777777" w:rsidR="00D9199B" w:rsidRDefault="00D9199B" w:rsidP="00D9199B">
      <w:r>
        <w:lastRenderedPageBreak/>
        <w:t xml:space="preserve">Susan is a party, not just a witness. That gives her a seat at counsel table through trial and puts the case's best fact witness in front of the jury with a personal stake the jury is instructed to compensate. She is the one who sat bedside twelve hours a day, never saw scheduled turning, was never told about the wounds, and begged Rancho physicians for the ostomy. As a mere percipient </w:t>
      </w:r>
      <w:proofErr w:type="gramStart"/>
      <w:r>
        <w:t>witness</w:t>
      </w:r>
      <w:proofErr w:type="gramEnd"/>
      <w:r>
        <w:t xml:space="preserve"> she </w:t>
      </w:r>
      <w:proofErr w:type="gramStart"/>
      <w:r>
        <w:t>tells</w:t>
      </w:r>
      <w:proofErr w:type="gramEnd"/>
      <w:r>
        <w:t xml:space="preserve"> that story once on the stand. As a plaintiff she embodies it for the length of the trial.</w:t>
      </w:r>
    </w:p>
    <w:p w14:paraId="10E2ECFA" w14:textId="77777777" w:rsidR="00D9199B" w:rsidRDefault="00D9199B" w:rsidP="00D9199B">
      <w:r>
        <w:t xml:space="preserve">There is a money reason too. Her claim is derivative of </w:t>
      </w:r>
      <w:proofErr w:type="gramStart"/>
      <w:r>
        <w:t>the negligence</w:t>
      </w:r>
      <w:proofErr w:type="gramEnd"/>
      <w:r>
        <w:t xml:space="preserve">, so MICRA governs it, but California courts treat a spouse's consortium claim as a separate injury with its own separate cap under Civil Code section 3333.2. After the 2022 amendments, the non-death cap started at $350,000 in 2023 and climbs $40,000 a year, so by a 2027 or 2028 judgment her claim adds roughly half a million dollars of separate non-economic headroom on top of Dennis's. In a case where the defense strategy is to shrink everything into capped malpractice, a second capped bucket is not trivial. And her presence complicates the defense's settlement math in another way: any release </w:t>
      </w:r>
      <w:proofErr w:type="gramStart"/>
      <w:r>
        <w:t>has to</w:t>
      </w:r>
      <w:proofErr w:type="gramEnd"/>
      <w:r>
        <w:t xml:space="preserve"> buy peace from </w:t>
      </w:r>
      <w:proofErr w:type="gramStart"/>
      <w:r>
        <w:t>both of them</w:t>
      </w:r>
      <w:proofErr w:type="gramEnd"/>
      <w:r>
        <w:t>, and her testimony is the emotional spine of the elder abuse recklessness narrative, the claim that escapes the caps entirely.</w:t>
      </w:r>
    </w:p>
    <w:p w14:paraId="6CA9F2CF" w14:textId="77777777" w:rsidR="00D9199B" w:rsidRDefault="00D9199B" w:rsidP="00D9199B">
      <w:r>
        <w:t xml:space="preserve">The vulnerability is timing. Consortium claims carry a two-year limitations period under section 335.1, and the injury dates to late 2024 while the filing came in March 2026. That is why the FAC devotes paragraph 22 to alleging her claim did not accrue until </w:t>
      </w:r>
      <w:proofErr w:type="gramStart"/>
      <w:r>
        <w:t>the September</w:t>
      </w:r>
      <w:proofErr w:type="gramEnd"/>
      <w:r>
        <w:t xml:space="preserve"> 15, </w:t>
      </w:r>
      <w:proofErr w:type="gramStart"/>
      <w:r>
        <w:t>2025</w:t>
      </w:r>
      <w:proofErr w:type="gramEnd"/>
      <w:r>
        <w:t xml:space="preserve"> expert consultation revealed negligence as the cause. The answer pleads section 335.1 by name. If the defense wins the accrual fight, her claim dies on the calendar. Nobody will try to kill it on the ground that old men have no companionship to lose.</w:t>
      </w:r>
    </w:p>
    <w:p w14:paraId="4ED4CDAF" w14:textId="77777777" w:rsidR="00D9199B" w:rsidRDefault="00D9199B" w:rsidP="00D9199B"/>
    <w:p w14:paraId="54E38E5C" w14:textId="77777777" w:rsidR="00D9199B" w:rsidRDefault="00D9199B" w:rsidP="00D9199B">
      <w:r>
        <w:t>Vasopressors are the defense's best card, and the FAC's paragraph 31 shows the plaintiffs know it.</w:t>
      </w:r>
    </w:p>
    <w:p w14:paraId="38D94CD1" w14:textId="77777777" w:rsidR="00D9199B" w:rsidRDefault="00D9199B" w:rsidP="00D9199B">
      <w:r>
        <w:t xml:space="preserve">Start with why he needed them. A C3-C4 cord injury disrupts the sympathetic nervous system, producing neurogenic shock: blood vessels dilate, blood pressure collapses, and the heart rate falls. Vasopressors, drugs infused to constrict vessels and hold blood pressure up, are standard treatment, and spinal cord injury protocols call for maintaining elevated pressures for roughly the first week to perfuse the injured cord. </w:t>
      </w:r>
      <w:proofErr w:type="gramStart"/>
      <w:r>
        <w:t>So</w:t>
      </w:r>
      <w:proofErr w:type="gramEnd"/>
      <w:r>
        <w:t xml:space="preserve"> Prager spent his early admission dependent on a medication drip to keep blood reaching his organs.</w:t>
      </w:r>
    </w:p>
    <w:p w14:paraId="0364CF43" w14:textId="77777777" w:rsidR="00D9199B" w:rsidRDefault="00D9199B" w:rsidP="00D9199B">
      <w:r>
        <w:t xml:space="preserve">That matters </w:t>
      </w:r>
      <w:proofErr w:type="gramStart"/>
      <w:r>
        <w:t>to</w:t>
      </w:r>
      <w:proofErr w:type="gramEnd"/>
      <w:r>
        <w:t xml:space="preserve"> this case in three ways.</w:t>
      </w:r>
    </w:p>
    <w:p w14:paraId="4D6FEEF1" w14:textId="77777777" w:rsidR="00D9199B" w:rsidRDefault="00D9199B" w:rsidP="00D9199B">
      <w:r>
        <w:t xml:space="preserve">First, hemodynamic instability is the classic justification for not </w:t>
      </w:r>
      <w:proofErr w:type="gramStart"/>
      <w:r>
        <w:t>turning</w:t>
      </w:r>
      <w:proofErr w:type="gramEnd"/>
      <w:r>
        <w:t xml:space="preserve"> a patient. A patient on pressors can crash when rolled; repositioning drops blood pressure in someone whose vascular tone is pharmacologically maintained. Nurses legitimately defer turns for </w:t>
      </w:r>
      <w:r>
        <w:lastRenderedPageBreak/>
        <w:t xml:space="preserve">unstable patients, and hospital protocols recognize the exception. </w:t>
      </w:r>
      <w:proofErr w:type="gramStart"/>
      <w:r>
        <w:t>So</w:t>
      </w:r>
      <w:proofErr w:type="gramEnd"/>
      <w:r>
        <w:t xml:space="preserve"> the vasopressor period gives Cedars-Sinai a window in which the failure to turn was arguably a clinical judgment, not neglect. That reframing is lethal to the elder abuse claim, because a considered medical decision, even a wrong one, is professional negligence under Winn and Delaney, not the withholding of custodial care that triggers the Act's enhanced remedies. The FAC anticipates this: paragraph 31 concedes the pressor support, then alleges it ended weeks before the injury appeared, that he was thereafter stable and tolerated repositioning, that no physician documented a contraindication to turning, and that staff in fact log-rolled him for hygiene without hemodynamic compromise. That last allegation is the sharpest: you cannot claim he was too fragile to turn for prevention while your own staff rolled him for bowel care.</w:t>
      </w:r>
    </w:p>
    <w:p w14:paraId="5A2E76D4" w14:textId="77777777" w:rsidR="00D9199B" w:rsidRDefault="00D9199B" w:rsidP="00D9199B">
      <w:r>
        <w:t xml:space="preserve">Second, vasopressors independently cause skin breakdown. The drugs work by clamping down peripheral vessels, which shunts blood to the core and away from the skin. A patient on pressors has impaired skin perfusion at exactly the bony surfaces where pressure injuries form. </w:t>
      </w:r>
      <w:proofErr w:type="gramStart"/>
      <w:r>
        <w:t>The literature</w:t>
      </w:r>
      <w:proofErr w:type="gramEnd"/>
      <w:r>
        <w:t xml:space="preserve"> treats vasopressor use as a major independent risk factor, and some clinicians argue wounds that form during pressor-dependent critical illness border on unavoidable, a version of what wound specialists call skin failure in the critically ill. Expect the defense expert to testify that Prager's wound was seeded during the neurogenic shock phase by physiology no nurse could overcome.</w:t>
      </w:r>
    </w:p>
    <w:p w14:paraId="439196B4" w14:textId="77777777" w:rsidR="00D9199B" w:rsidRDefault="00D9199B" w:rsidP="00D9199B">
      <w:r>
        <w:t xml:space="preserve">Third, and most technical, the pressors feed the defense's best causation argument about timing. The plaintiffs' chronology rests on the December 11 wound-nurse assessment finding clean skin, followed by documentation of a deep tissue injury around December 18-20, framing the injury as born in a one-week window of unexcused non-turning. But deep tissue injuries form at the muscle-bone interface and surface later; the purple discoloration on intact skin is the late visible sign of damage that began below, sometimes weeks earlier. The defense will </w:t>
      </w:r>
      <w:proofErr w:type="gramStart"/>
      <w:r>
        <w:t>argue</w:t>
      </w:r>
      <w:proofErr w:type="gramEnd"/>
      <w:r>
        <w:t xml:space="preserve"> the injury originated in November, during the pressor period, when perfusion was compromised and turning was risky, and merely declared itself in December. If a jury accepts that, the injury migrates from the window of a stable patient with unexecuted turn orders into the window of a dying-tissue </w:t>
      </w:r>
      <w:proofErr w:type="gramStart"/>
      <w:r>
        <w:t>physiology</w:t>
      </w:r>
      <w:proofErr w:type="gramEnd"/>
      <w:r>
        <w:t xml:space="preserve"> the hospital could not have prevented. The plaintiffs' counter is the interval: their expert will say a November-origin DTI does not hide behind a documented clean skin check on December 11, several weeks after pressors ended, and that the December 11 assessment resets the clock.</w:t>
      </w:r>
    </w:p>
    <w:p w14:paraId="00D911ED" w14:textId="434F629D" w:rsidR="00D9199B" w:rsidRDefault="00D9199B" w:rsidP="00D9199B">
      <w:proofErr w:type="gramStart"/>
      <w:r>
        <w:t>So</w:t>
      </w:r>
      <w:proofErr w:type="gramEnd"/>
      <w:r>
        <w:t xml:space="preserve"> the trial within the trial is a fight over about four weeks of ICU physiology: when did the deep damage start, relative to when the pressors stopped and the log-rolls resumed. The vasopressors also serve the defense atmospherically. Every mention reminds the jury this </w:t>
      </w:r>
      <w:r>
        <w:lastRenderedPageBreak/>
        <w:t xml:space="preserve">was a catastrophically injured man kept alive by continuous infusion, which softens the neglect narrative into a story about the limits of medicine. The plaintiffs' drafting choice to concede the pressors up front, rather than </w:t>
      </w:r>
      <w:proofErr w:type="gramStart"/>
      <w:r>
        <w:t>let</w:t>
      </w:r>
      <w:proofErr w:type="gramEnd"/>
      <w:r>
        <w:t xml:space="preserve"> the defense spring them, was the correct one. It cabins the unavoidability defense to November and stakes the case </w:t>
      </w:r>
      <w:proofErr w:type="gramStart"/>
      <w:r>
        <w:t>on</w:t>
      </w:r>
      <w:proofErr w:type="gramEnd"/>
      <w:r>
        <w:t xml:space="preserve"> December, </w:t>
      </w:r>
      <w:proofErr w:type="gramStart"/>
      <w:r>
        <w:t>where</w:t>
      </w:r>
      <w:proofErr w:type="gramEnd"/>
      <w:r>
        <w:t xml:space="preserve"> the chart is worst for the hospital.</w:t>
      </w:r>
    </w:p>
    <w:sectPr w:rsidR="00D919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99B"/>
    <w:rsid w:val="00293DAE"/>
    <w:rsid w:val="00D9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3474"/>
  <w15:chartTrackingRefBased/>
  <w15:docId w15:val="{51F411A9-929A-4EAD-9F03-648ABC9E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9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9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9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9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9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99B"/>
    <w:rPr>
      <w:rFonts w:eastAsiaTheme="majorEastAsia" w:cstheme="majorBidi"/>
      <w:color w:val="272727" w:themeColor="text1" w:themeTint="D8"/>
    </w:rPr>
  </w:style>
  <w:style w:type="paragraph" w:styleId="Title">
    <w:name w:val="Title"/>
    <w:basedOn w:val="Normal"/>
    <w:next w:val="Normal"/>
    <w:link w:val="TitleChar"/>
    <w:uiPriority w:val="10"/>
    <w:qFormat/>
    <w:rsid w:val="00D91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99B"/>
    <w:pPr>
      <w:spacing w:before="160"/>
      <w:jc w:val="center"/>
    </w:pPr>
    <w:rPr>
      <w:i/>
      <w:iCs/>
      <w:color w:val="404040" w:themeColor="text1" w:themeTint="BF"/>
    </w:rPr>
  </w:style>
  <w:style w:type="character" w:customStyle="1" w:styleId="QuoteChar">
    <w:name w:val="Quote Char"/>
    <w:basedOn w:val="DefaultParagraphFont"/>
    <w:link w:val="Quote"/>
    <w:uiPriority w:val="29"/>
    <w:rsid w:val="00D9199B"/>
    <w:rPr>
      <w:i/>
      <w:iCs/>
      <w:color w:val="404040" w:themeColor="text1" w:themeTint="BF"/>
    </w:rPr>
  </w:style>
  <w:style w:type="paragraph" w:styleId="ListParagraph">
    <w:name w:val="List Paragraph"/>
    <w:basedOn w:val="Normal"/>
    <w:uiPriority w:val="34"/>
    <w:qFormat/>
    <w:rsid w:val="00D9199B"/>
    <w:pPr>
      <w:ind w:left="720"/>
      <w:contextualSpacing/>
    </w:pPr>
  </w:style>
  <w:style w:type="character" w:styleId="IntenseEmphasis">
    <w:name w:val="Intense Emphasis"/>
    <w:basedOn w:val="DefaultParagraphFont"/>
    <w:uiPriority w:val="21"/>
    <w:qFormat/>
    <w:rsid w:val="00D9199B"/>
    <w:rPr>
      <w:i/>
      <w:iCs/>
      <w:color w:val="0F4761" w:themeColor="accent1" w:themeShade="BF"/>
    </w:rPr>
  </w:style>
  <w:style w:type="paragraph" w:styleId="IntenseQuote">
    <w:name w:val="Intense Quote"/>
    <w:basedOn w:val="Normal"/>
    <w:next w:val="Normal"/>
    <w:link w:val="IntenseQuoteChar"/>
    <w:uiPriority w:val="30"/>
    <w:qFormat/>
    <w:rsid w:val="00D91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99B"/>
    <w:rPr>
      <w:i/>
      <w:iCs/>
      <w:color w:val="0F4761" w:themeColor="accent1" w:themeShade="BF"/>
    </w:rPr>
  </w:style>
  <w:style w:type="character" w:styleId="IntenseReference">
    <w:name w:val="Intense Reference"/>
    <w:basedOn w:val="DefaultParagraphFont"/>
    <w:uiPriority w:val="32"/>
    <w:qFormat/>
    <w:rsid w:val="00D91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4212</Words>
  <Characters>24012</Characters>
  <Application>Microsoft Office Word</Application>
  <DocSecurity>0</DocSecurity>
  <Lines>200</Lines>
  <Paragraphs>56</Paragraphs>
  <ScaleCrop>false</ScaleCrop>
  <Company/>
  <LinksUpToDate>false</LinksUpToDate>
  <CharactersWithSpaces>28168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Ford</dc:creator>
  <cp:keywords/>
  <dc:description/>
  <cp:lastModifiedBy>Luke Ford</cp:lastModifiedBy>
  <cp:revision>1</cp:revision>
  <dcterms:created xsi:type="dcterms:W3CDTF">2026-08-30T17:07:00Z</dcterms:created>
  <dcterms:modified xsi:type="dcterms:W3CDTF">2026-08-30T17:08:00Z</dcterms:modified>
</cp:coreProperties>
</file>